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2146"/>
        <w:tblW w:w="10545" w:type="dxa"/>
        <w:tblCellSpacing w:w="0" w:type="dxa"/>
        <w:tblBorders>
          <w:top w:val="single" w:sz="6" w:space="0" w:color="000000"/>
          <w:left w:val="single" w:sz="6" w:space="0" w:color="000000"/>
          <w:bottom w:val="single" w:sz="6" w:space="0" w:color="000000"/>
          <w:right w:val="single" w:sz="6" w:space="0" w:color="000000"/>
        </w:tblBorders>
        <w:tblCellMar>
          <w:left w:w="14" w:type="dxa"/>
          <w:right w:w="14" w:type="dxa"/>
        </w:tblCellMar>
        <w:tblLook w:val="04A0" w:firstRow="1" w:lastRow="0" w:firstColumn="1" w:lastColumn="0" w:noHBand="0" w:noVBand="1"/>
        <w:tblDescription w:val="summary or vaccine reommendations"/>
      </w:tblPr>
      <w:tblGrid>
        <w:gridCol w:w="1710"/>
        <w:gridCol w:w="8835"/>
      </w:tblGrid>
      <w:tr w:rsidR="00856E3B" w:rsidRPr="00C36A30" w:rsidTr="00C13511">
        <w:trPr>
          <w:trHeight w:val="331"/>
          <w:tblCellSpacing w:w="0" w:type="dxa"/>
        </w:trPr>
        <w:tc>
          <w:tcPr>
            <w:tcW w:w="1710" w:type="dxa"/>
            <w:tcBorders>
              <w:top w:val="outset" w:sz="6" w:space="0" w:color="CCCCCC"/>
              <w:left w:val="outset" w:sz="6" w:space="0" w:color="CCCCCC"/>
              <w:bottom w:val="outset" w:sz="6" w:space="0" w:color="CCCCCC"/>
              <w:right w:val="outset" w:sz="6" w:space="0" w:color="CCCCCC"/>
            </w:tcBorders>
            <w:shd w:val="clear" w:color="auto" w:fill="ECFFEC"/>
            <w:hideMark/>
          </w:tcPr>
          <w:p w:rsidR="00856E3B" w:rsidRPr="00C36A30" w:rsidRDefault="00856E3B" w:rsidP="00C13511">
            <w:pPr>
              <w:spacing w:after="264" w:line="240" w:lineRule="auto"/>
              <w:rPr>
                <w:rFonts w:ascii="Verdana" w:eastAsia="Times New Roman" w:hAnsi="Verdana" w:cs="Arial"/>
                <w:b/>
                <w:bCs/>
                <w:color w:val="000000"/>
                <w:lang w:val="es-ES"/>
              </w:rPr>
            </w:pPr>
            <w:r w:rsidRPr="00C36A30">
              <w:rPr>
                <w:rFonts w:ascii="Verdana" w:eastAsia="Times New Roman" w:hAnsi="Verdana" w:cs="Arial"/>
                <w:b/>
                <w:bCs/>
                <w:color w:val="000000"/>
                <w:lang w:val="es-ES"/>
              </w:rPr>
              <w:t xml:space="preserve">Edad/estado </w:t>
            </w:r>
          </w:p>
        </w:tc>
        <w:tc>
          <w:tcPr>
            <w:tcW w:w="8835" w:type="dxa"/>
            <w:tcBorders>
              <w:top w:val="outset" w:sz="6" w:space="0" w:color="CCCCCC"/>
              <w:left w:val="outset" w:sz="6" w:space="0" w:color="CCCCCC"/>
              <w:bottom w:val="outset" w:sz="6" w:space="0" w:color="CCCCCC"/>
              <w:right w:val="outset" w:sz="6" w:space="0" w:color="CCCCCC"/>
            </w:tcBorders>
            <w:shd w:val="clear" w:color="auto" w:fill="ECFFEC"/>
            <w:hideMark/>
          </w:tcPr>
          <w:p w:rsidR="00856E3B" w:rsidRPr="00C36A30" w:rsidRDefault="00856E3B" w:rsidP="00C13511">
            <w:pPr>
              <w:spacing w:after="0" w:line="240" w:lineRule="auto"/>
              <w:rPr>
                <w:rFonts w:ascii="Verdana" w:eastAsia="Times New Roman" w:hAnsi="Verdana" w:cs="Arial"/>
                <w:b/>
                <w:bCs/>
                <w:color w:val="000000"/>
                <w:lang w:val="es-ES"/>
              </w:rPr>
            </w:pPr>
            <w:r w:rsidRPr="00C36A30">
              <w:rPr>
                <w:rFonts w:ascii="Verdana" w:eastAsia="Times New Roman" w:hAnsi="Verdana" w:cs="Arial"/>
                <w:b/>
                <w:bCs/>
                <w:color w:val="000000"/>
                <w:lang w:val="es-ES"/>
              </w:rPr>
              <w:t xml:space="preserve">Recomendaciones </w:t>
            </w:r>
          </w:p>
        </w:tc>
      </w:tr>
      <w:tr w:rsidR="00856E3B" w:rsidRPr="00C36A30" w:rsidTr="009A2950">
        <w:trPr>
          <w:trHeight w:val="402"/>
          <w:tblCellSpacing w:w="0" w:type="dxa"/>
        </w:trPr>
        <w:tc>
          <w:tcPr>
            <w:tcW w:w="1710" w:type="dxa"/>
            <w:tcBorders>
              <w:top w:val="single" w:sz="6" w:space="0" w:color="000000"/>
              <w:left w:val="single" w:sz="6" w:space="0" w:color="000000"/>
              <w:bottom w:val="single" w:sz="6" w:space="0" w:color="000000"/>
              <w:right w:val="single" w:sz="6" w:space="0" w:color="000000"/>
            </w:tcBorders>
            <w:hideMark/>
          </w:tcPr>
          <w:p w:rsidR="00856E3B" w:rsidRPr="00C36A30" w:rsidRDefault="00856E3B" w:rsidP="009A2950">
            <w:pPr>
              <w:spacing w:before="75" w:after="150" w:line="312" w:lineRule="atLeast"/>
              <w:rPr>
                <w:rFonts w:ascii="Verdana" w:eastAsia="Times New Roman" w:hAnsi="Verdana" w:cs="Arial"/>
                <w:color w:val="000000"/>
                <w:lang w:val="es-ES"/>
              </w:rPr>
            </w:pPr>
            <w:r w:rsidRPr="00C36A30">
              <w:rPr>
                <w:rFonts w:ascii="Verdana" w:eastAsia="Times New Roman" w:hAnsi="Verdana" w:cs="Arial"/>
                <w:color w:val="000000"/>
                <w:lang w:val="es-ES"/>
              </w:rPr>
              <w:t>Menos de un año de edad</w:t>
            </w:r>
          </w:p>
        </w:tc>
        <w:tc>
          <w:tcPr>
            <w:tcW w:w="8835" w:type="dxa"/>
            <w:tcBorders>
              <w:top w:val="single" w:sz="6" w:space="0" w:color="000000"/>
              <w:left w:val="single" w:sz="6" w:space="0" w:color="000000"/>
              <w:bottom w:val="single" w:sz="6" w:space="0" w:color="000000"/>
              <w:right w:val="single" w:sz="6" w:space="0" w:color="000000"/>
            </w:tcBorders>
            <w:hideMark/>
          </w:tcPr>
          <w:p w:rsidR="00856E3B" w:rsidRPr="00C36A30" w:rsidRDefault="00856E3B" w:rsidP="009A2950">
            <w:pPr>
              <w:spacing w:before="75" w:after="150" w:line="312" w:lineRule="atLeast"/>
              <w:rPr>
                <w:rFonts w:ascii="Verdana" w:eastAsia="Times New Roman" w:hAnsi="Verdana" w:cs="Arial"/>
                <w:color w:val="000000"/>
                <w:lang w:val="es-ES"/>
              </w:rPr>
            </w:pPr>
            <w:r w:rsidRPr="00C36A30">
              <w:rPr>
                <w:rFonts w:ascii="Verdana" w:eastAsia="Times New Roman" w:hAnsi="Verdana" w:cs="Arial"/>
                <w:color w:val="000000"/>
                <w:lang w:val="es-ES"/>
              </w:rPr>
              <w:t>Bajo circunstancias de rutina no se recomienda que los niños menores de 12 meses de edad reciban la vacuna MMR.</w:t>
            </w:r>
          </w:p>
          <w:p w:rsidR="00856E3B" w:rsidRPr="00C36A30" w:rsidRDefault="00856E3B" w:rsidP="009A2950">
            <w:pPr>
              <w:spacing w:before="75" w:after="150" w:line="312" w:lineRule="atLeast"/>
              <w:rPr>
                <w:rFonts w:ascii="Verdana" w:eastAsia="Times New Roman" w:hAnsi="Verdana" w:cs="Arial"/>
                <w:color w:val="000000"/>
                <w:lang w:val="es-ES"/>
              </w:rPr>
            </w:pPr>
            <w:r w:rsidRPr="00C36A30">
              <w:rPr>
                <w:rFonts w:ascii="Verdana" w:eastAsia="Times New Roman" w:hAnsi="Verdana" w:cs="Arial"/>
                <w:color w:val="000000"/>
                <w:lang w:val="es-ES"/>
              </w:rPr>
              <w:t xml:space="preserve">La vacuna MMR puede administrarse a los niños a partir de los seis meses de edad si ellos han estado expuestos, si están en un entorno donde haya surgido un brote o si viajan a un área donde el sarampión sea endémico. Los niños que reciben la vacuna MMR antes de cumplir un año de vida deberían recibir dos dosis adicionales según el calendario de rutina. </w:t>
            </w:r>
          </w:p>
        </w:tc>
      </w:tr>
      <w:tr w:rsidR="00856E3B" w:rsidRPr="00B90B7E" w:rsidTr="009A2950">
        <w:trPr>
          <w:trHeight w:val="702"/>
          <w:tblCellSpacing w:w="0" w:type="dxa"/>
        </w:trPr>
        <w:tc>
          <w:tcPr>
            <w:tcW w:w="1710" w:type="dxa"/>
            <w:tcBorders>
              <w:top w:val="single" w:sz="6" w:space="0" w:color="000000"/>
              <w:left w:val="single" w:sz="6" w:space="0" w:color="000000"/>
              <w:bottom w:val="single" w:sz="6" w:space="0" w:color="000000"/>
              <w:right w:val="single" w:sz="6" w:space="0" w:color="000000"/>
            </w:tcBorders>
            <w:hideMark/>
          </w:tcPr>
          <w:p w:rsidR="00856E3B" w:rsidRPr="00C36A30" w:rsidRDefault="00856E3B" w:rsidP="009A2950">
            <w:pPr>
              <w:spacing w:before="75" w:after="150" w:line="312" w:lineRule="atLeast"/>
              <w:rPr>
                <w:rFonts w:ascii="Verdana" w:eastAsia="Times New Roman" w:hAnsi="Verdana" w:cs="Arial"/>
                <w:color w:val="000000"/>
                <w:lang w:val="es-ES"/>
              </w:rPr>
            </w:pPr>
            <w:r w:rsidRPr="00C36A30">
              <w:rPr>
                <w:rFonts w:ascii="Verdana" w:eastAsia="Times New Roman" w:hAnsi="Verdana" w:cs="Arial"/>
                <w:color w:val="000000"/>
                <w:lang w:val="es-ES"/>
              </w:rPr>
              <w:t>1-6 años de edad</w:t>
            </w:r>
          </w:p>
          <w:p w:rsidR="00856E3B" w:rsidRPr="00C36A30" w:rsidRDefault="00856E3B" w:rsidP="009A2950">
            <w:pPr>
              <w:spacing w:before="75" w:after="150" w:line="240" w:lineRule="auto"/>
              <w:rPr>
                <w:rFonts w:ascii="Verdana" w:eastAsia="Times New Roman" w:hAnsi="Verdana" w:cs="Arial"/>
                <w:color w:val="000000"/>
                <w:lang w:val="es-ES"/>
              </w:rPr>
            </w:pPr>
          </w:p>
        </w:tc>
        <w:tc>
          <w:tcPr>
            <w:tcW w:w="8835" w:type="dxa"/>
            <w:tcBorders>
              <w:top w:val="single" w:sz="6" w:space="0" w:color="000000"/>
              <w:left w:val="single" w:sz="6" w:space="0" w:color="000000"/>
              <w:bottom w:val="single" w:sz="6" w:space="0" w:color="000000"/>
              <w:right w:val="single" w:sz="6" w:space="0" w:color="000000"/>
            </w:tcBorders>
            <w:hideMark/>
          </w:tcPr>
          <w:p w:rsidR="00856E3B" w:rsidRPr="00C36A30" w:rsidRDefault="00856E3B" w:rsidP="009A2950">
            <w:pPr>
              <w:spacing w:before="75" w:after="150" w:line="312" w:lineRule="atLeast"/>
              <w:rPr>
                <w:rFonts w:ascii="Verdana" w:eastAsia="Times New Roman" w:hAnsi="Verdana" w:cs="Arial"/>
                <w:color w:val="000000"/>
                <w:lang w:val="es-ES"/>
              </w:rPr>
            </w:pPr>
            <w:r w:rsidRPr="00C36A30">
              <w:rPr>
                <w:rFonts w:ascii="Verdana" w:eastAsia="Times New Roman" w:hAnsi="Verdana" w:cs="Arial"/>
                <w:color w:val="000000"/>
                <w:lang w:val="es-ES"/>
              </w:rPr>
              <w:t>Se recomienda la primera dosis de la vacuna MMR de los 12–15 meses de edad.</w:t>
            </w:r>
          </w:p>
          <w:p w:rsidR="00856E3B" w:rsidRPr="00C36A30" w:rsidRDefault="00856E3B" w:rsidP="009A2950">
            <w:pPr>
              <w:spacing w:before="75" w:after="150" w:line="312" w:lineRule="atLeast"/>
              <w:rPr>
                <w:rFonts w:ascii="Verdana" w:eastAsia="Times New Roman" w:hAnsi="Verdana" w:cs="Arial"/>
                <w:color w:val="000000"/>
                <w:lang w:val="es-ES"/>
              </w:rPr>
            </w:pPr>
            <w:r w:rsidRPr="00C36A30">
              <w:rPr>
                <w:rFonts w:ascii="Verdana" w:eastAsia="Times New Roman" w:hAnsi="Verdana" w:cs="Arial"/>
                <w:color w:val="000000"/>
                <w:lang w:val="es-ES"/>
              </w:rPr>
              <w:t xml:space="preserve">Se recomienda la segunda dosis de la vacuna MMR de los 4–6 años de edad.  Si ambas dosis son necesarias para ponerse al corriente, deberían administrarse una al menos 28 días después de la otra. </w:t>
            </w:r>
          </w:p>
        </w:tc>
      </w:tr>
      <w:tr w:rsidR="00856E3B" w:rsidRPr="00B90B7E" w:rsidTr="009A2950">
        <w:trPr>
          <w:tblCellSpacing w:w="0" w:type="dxa"/>
        </w:trPr>
        <w:tc>
          <w:tcPr>
            <w:tcW w:w="1710" w:type="dxa"/>
            <w:tcBorders>
              <w:top w:val="single" w:sz="6" w:space="0" w:color="000000"/>
              <w:left w:val="single" w:sz="6" w:space="0" w:color="000000"/>
              <w:bottom w:val="single" w:sz="6" w:space="0" w:color="000000"/>
              <w:right w:val="single" w:sz="6" w:space="0" w:color="000000"/>
            </w:tcBorders>
          </w:tcPr>
          <w:p w:rsidR="00856E3B" w:rsidRPr="00C36A30" w:rsidRDefault="00856E3B" w:rsidP="009A2950">
            <w:pPr>
              <w:spacing w:before="75" w:after="150" w:line="312" w:lineRule="atLeast"/>
              <w:rPr>
                <w:rFonts w:ascii="Verdana" w:eastAsia="Times New Roman" w:hAnsi="Verdana" w:cs="Arial"/>
                <w:color w:val="000000"/>
                <w:lang w:val="es-ES"/>
              </w:rPr>
            </w:pPr>
            <w:r w:rsidRPr="00C36A30">
              <w:rPr>
                <w:rFonts w:ascii="Verdana" w:eastAsia="Times New Roman" w:hAnsi="Verdana" w:cs="Arial"/>
                <w:color w:val="000000"/>
                <w:lang w:val="es-ES"/>
              </w:rPr>
              <w:t>7-19 años de edad</w:t>
            </w:r>
          </w:p>
        </w:tc>
        <w:tc>
          <w:tcPr>
            <w:tcW w:w="8835" w:type="dxa"/>
            <w:tcBorders>
              <w:top w:val="single" w:sz="6" w:space="0" w:color="000000"/>
              <w:left w:val="single" w:sz="6" w:space="0" w:color="000000"/>
              <w:bottom w:val="single" w:sz="6" w:space="0" w:color="000000"/>
              <w:right w:val="single" w:sz="6" w:space="0" w:color="000000"/>
            </w:tcBorders>
          </w:tcPr>
          <w:p w:rsidR="00856E3B" w:rsidRPr="00C36A30" w:rsidRDefault="00856E3B" w:rsidP="009A2950">
            <w:pPr>
              <w:spacing w:before="75" w:after="150" w:line="312" w:lineRule="atLeast"/>
              <w:rPr>
                <w:rFonts w:ascii="Verdana" w:eastAsia="Times New Roman" w:hAnsi="Verdana" w:cs="Arial"/>
                <w:color w:val="000000"/>
                <w:lang w:val="es-ES"/>
              </w:rPr>
            </w:pPr>
            <w:r w:rsidRPr="00C36A30">
              <w:rPr>
                <w:rFonts w:ascii="Verdana" w:eastAsia="Times New Roman" w:hAnsi="Verdana" w:cs="Arial"/>
                <w:color w:val="000000"/>
                <w:lang w:val="es-ES"/>
              </w:rPr>
              <w:t xml:space="preserve">Los niños que no hayan recibido dos dosis de la vacuna MMR deberían recibir la vacuna. Si ambas dosis son necesarias para ponerse al corriente, deberían administrarse una al menos 28 días después de la otra. </w:t>
            </w:r>
          </w:p>
        </w:tc>
      </w:tr>
      <w:tr w:rsidR="00856E3B" w:rsidRPr="00B90B7E" w:rsidTr="009A2950">
        <w:trPr>
          <w:tblCellSpacing w:w="0" w:type="dxa"/>
        </w:trPr>
        <w:tc>
          <w:tcPr>
            <w:tcW w:w="1710" w:type="dxa"/>
            <w:tcBorders>
              <w:top w:val="single" w:sz="6" w:space="0" w:color="000000"/>
              <w:left w:val="single" w:sz="6" w:space="0" w:color="000000"/>
              <w:bottom w:val="single" w:sz="6" w:space="0" w:color="000000"/>
              <w:right w:val="single" w:sz="6" w:space="0" w:color="000000"/>
            </w:tcBorders>
            <w:hideMark/>
          </w:tcPr>
          <w:p w:rsidR="00856E3B" w:rsidRPr="00C36A30" w:rsidRDefault="00856E3B" w:rsidP="009A2950">
            <w:pPr>
              <w:spacing w:before="75" w:after="150" w:line="312" w:lineRule="atLeast"/>
              <w:rPr>
                <w:rFonts w:ascii="Verdana" w:eastAsia="Times New Roman" w:hAnsi="Verdana" w:cs="Arial"/>
                <w:color w:val="000000"/>
                <w:lang w:val="es-ES"/>
              </w:rPr>
            </w:pPr>
            <w:r w:rsidRPr="00C36A30">
              <w:rPr>
                <w:rFonts w:ascii="Verdana" w:eastAsia="Times New Roman" w:hAnsi="Verdana" w:cs="Arial"/>
                <w:color w:val="000000"/>
                <w:lang w:val="es-ES"/>
              </w:rPr>
              <w:t xml:space="preserve">Adultos </w:t>
            </w:r>
          </w:p>
          <w:p w:rsidR="00856E3B" w:rsidRPr="00C36A30" w:rsidRDefault="00856E3B" w:rsidP="009A2950">
            <w:pPr>
              <w:spacing w:before="75" w:after="150" w:line="312" w:lineRule="atLeast"/>
              <w:rPr>
                <w:rFonts w:ascii="Verdana" w:eastAsia="Times New Roman" w:hAnsi="Verdana" w:cs="Arial"/>
                <w:color w:val="999999"/>
                <w:lang w:val="es-ES"/>
              </w:rPr>
            </w:pPr>
          </w:p>
          <w:p w:rsidR="00856E3B" w:rsidRPr="00C36A30" w:rsidRDefault="00856E3B" w:rsidP="009A2950">
            <w:pPr>
              <w:spacing w:before="75" w:after="150" w:line="312" w:lineRule="atLeast"/>
              <w:rPr>
                <w:rFonts w:ascii="Verdana" w:eastAsia="Times New Roman" w:hAnsi="Verdana" w:cs="Arial"/>
                <w:color w:val="000000"/>
                <w:lang w:val="es-ES"/>
              </w:rPr>
            </w:pPr>
          </w:p>
        </w:tc>
        <w:tc>
          <w:tcPr>
            <w:tcW w:w="8835" w:type="dxa"/>
            <w:tcBorders>
              <w:top w:val="single" w:sz="6" w:space="0" w:color="000000"/>
              <w:left w:val="single" w:sz="6" w:space="0" w:color="000000"/>
              <w:bottom w:val="single" w:sz="6" w:space="0" w:color="000000"/>
              <w:right w:val="single" w:sz="6" w:space="0" w:color="000000"/>
            </w:tcBorders>
            <w:hideMark/>
          </w:tcPr>
          <w:p w:rsidR="00856E3B" w:rsidRPr="00C36A30" w:rsidRDefault="00856E3B" w:rsidP="009A2950">
            <w:pPr>
              <w:spacing w:before="75" w:after="150" w:line="312" w:lineRule="atLeast"/>
              <w:rPr>
                <w:rFonts w:ascii="Verdana" w:eastAsia="Times New Roman" w:hAnsi="Verdana" w:cs="Arial"/>
                <w:color w:val="000000"/>
                <w:lang w:val="es-ES"/>
              </w:rPr>
            </w:pPr>
            <w:r w:rsidRPr="00C36A30">
              <w:rPr>
                <w:rFonts w:ascii="Verdana" w:eastAsia="Times New Roman" w:hAnsi="Verdana" w:cs="Arial"/>
                <w:color w:val="000000"/>
                <w:lang w:val="es-ES"/>
              </w:rPr>
              <w:t xml:space="preserve">Los adultos que no hayan recibido dos dosis de la vacuna MMR y no hayan tenido sarampión deberían recibir la vacuna si cubren los siguientes criterios: </w:t>
            </w:r>
          </w:p>
          <w:p w:rsidR="00856E3B" w:rsidRPr="00C36A30" w:rsidRDefault="00856E3B" w:rsidP="009A2950">
            <w:pPr>
              <w:pStyle w:val="ListParagraph"/>
              <w:numPr>
                <w:ilvl w:val="0"/>
                <w:numId w:val="3"/>
              </w:numPr>
              <w:spacing w:before="75" w:after="150" w:line="312" w:lineRule="atLeast"/>
              <w:rPr>
                <w:rFonts w:ascii="Verdana" w:eastAsia="Times New Roman" w:hAnsi="Verdana" w:cs="Arial"/>
                <w:color w:val="000000"/>
                <w:lang w:val="es-ES"/>
              </w:rPr>
            </w:pPr>
            <w:r w:rsidRPr="00C36A30">
              <w:rPr>
                <w:rFonts w:ascii="Verdana" w:eastAsia="Times New Roman" w:hAnsi="Verdana" w:cs="Arial"/>
                <w:color w:val="000000"/>
                <w:lang w:val="es-ES"/>
              </w:rPr>
              <w:t>Nacieron después de 1957</w:t>
            </w:r>
          </w:p>
          <w:p w:rsidR="00856E3B" w:rsidRPr="00C36A30" w:rsidRDefault="00856E3B" w:rsidP="009A2950">
            <w:pPr>
              <w:pStyle w:val="ListParagraph"/>
              <w:numPr>
                <w:ilvl w:val="0"/>
                <w:numId w:val="4"/>
              </w:numPr>
              <w:spacing w:before="75" w:after="150" w:line="312" w:lineRule="atLeast"/>
              <w:rPr>
                <w:rFonts w:ascii="Verdana" w:eastAsia="Times New Roman" w:hAnsi="Verdana" w:cs="Arial"/>
                <w:color w:val="000000"/>
                <w:lang w:val="es-ES"/>
              </w:rPr>
            </w:pPr>
            <w:r w:rsidRPr="00C36A30">
              <w:rPr>
                <w:rFonts w:ascii="Verdana" w:eastAsia="Times New Roman" w:hAnsi="Verdana" w:cs="Arial"/>
                <w:color w:val="000000"/>
                <w:lang w:val="es-ES"/>
              </w:rPr>
              <w:t>Asisten a la escuela más allá del nivel high school (p. ej. universidad, escuela técnica)</w:t>
            </w:r>
          </w:p>
          <w:p w:rsidR="00856E3B" w:rsidRPr="00C36A30" w:rsidRDefault="00856E3B" w:rsidP="009A2950">
            <w:pPr>
              <w:pStyle w:val="ListParagraph"/>
              <w:numPr>
                <w:ilvl w:val="0"/>
                <w:numId w:val="4"/>
              </w:numPr>
              <w:spacing w:before="75" w:after="150" w:line="312" w:lineRule="atLeast"/>
              <w:rPr>
                <w:rFonts w:ascii="Verdana" w:eastAsia="Times New Roman" w:hAnsi="Verdana" w:cs="Arial"/>
                <w:color w:val="000000"/>
                <w:lang w:val="es-ES"/>
              </w:rPr>
            </w:pPr>
            <w:r w:rsidRPr="00C36A30">
              <w:rPr>
                <w:rFonts w:ascii="Verdana" w:eastAsia="Times New Roman" w:hAnsi="Verdana" w:cs="Arial"/>
                <w:color w:val="000000"/>
                <w:lang w:val="es-ES"/>
              </w:rPr>
              <w:t>Trabajan o realizan trabajo voluntario en un complejo de salud de cualquier tipo</w:t>
            </w:r>
          </w:p>
          <w:p w:rsidR="00856E3B" w:rsidRPr="00C36A30" w:rsidRDefault="00856E3B" w:rsidP="009A2950">
            <w:pPr>
              <w:pStyle w:val="ListParagraph"/>
              <w:numPr>
                <w:ilvl w:val="0"/>
                <w:numId w:val="4"/>
              </w:numPr>
              <w:spacing w:before="75" w:after="150" w:line="312" w:lineRule="atLeast"/>
              <w:rPr>
                <w:rFonts w:ascii="Verdana" w:eastAsia="Times New Roman" w:hAnsi="Verdana" w:cs="Arial"/>
                <w:color w:val="000000"/>
                <w:lang w:val="es-ES"/>
              </w:rPr>
            </w:pPr>
            <w:r w:rsidRPr="00C36A30">
              <w:rPr>
                <w:rFonts w:ascii="Verdana" w:eastAsia="Times New Roman" w:hAnsi="Verdana" w:cs="Arial"/>
                <w:color w:val="000000"/>
                <w:lang w:val="es-ES"/>
              </w:rPr>
              <w:t>Viajan al extranjero, incluso si van en crucero</w:t>
            </w:r>
          </w:p>
          <w:p w:rsidR="00856E3B" w:rsidRPr="00C36A30" w:rsidRDefault="00856E3B" w:rsidP="009A2950">
            <w:pPr>
              <w:pStyle w:val="ListParagraph"/>
              <w:numPr>
                <w:ilvl w:val="0"/>
                <w:numId w:val="4"/>
              </w:numPr>
              <w:spacing w:before="75" w:after="150" w:line="312" w:lineRule="atLeast"/>
              <w:rPr>
                <w:rFonts w:ascii="Verdana" w:eastAsia="Times New Roman" w:hAnsi="Verdana" w:cs="Arial"/>
                <w:color w:val="000000"/>
                <w:lang w:val="es-ES"/>
              </w:rPr>
            </w:pPr>
            <w:r w:rsidRPr="00C36A30">
              <w:rPr>
                <w:rFonts w:ascii="Verdana" w:eastAsia="Times New Roman" w:hAnsi="Verdana" w:cs="Arial"/>
                <w:color w:val="000000"/>
                <w:lang w:val="es-ES"/>
              </w:rPr>
              <w:t>Son mujeres en edad fértil (y que actualmente</w:t>
            </w:r>
            <w:r w:rsidRPr="00C36A30">
              <w:rPr>
                <w:rFonts w:ascii="Verdana" w:eastAsia="Times New Roman" w:hAnsi="Verdana" w:cs="Arial"/>
                <w:b/>
                <w:color w:val="000000"/>
                <w:lang w:val="es-ES"/>
              </w:rPr>
              <w:t xml:space="preserve"> no</w:t>
            </w:r>
            <w:r w:rsidRPr="00C36A30">
              <w:rPr>
                <w:rFonts w:ascii="Verdana" w:eastAsia="Times New Roman" w:hAnsi="Verdana" w:cs="Arial"/>
                <w:color w:val="000000"/>
                <w:lang w:val="es-ES"/>
              </w:rPr>
              <w:t xml:space="preserve"> están embarazadas)</w:t>
            </w:r>
          </w:p>
        </w:tc>
      </w:tr>
      <w:tr w:rsidR="00856E3B" w:rsidRPr="00B90B7E" w:rsidTr="009A2950">
        <w:trPr>
          <w:trHeight w:val="738"/>
          <w:tblCellSpacing w:w="0" w:type="dxa"/>
        </w:trPr>
        <w:tc>
          <w:tcPr>
            <w:tcW w:w="1710" w:type="dxa"/>
            <w:tcBorders>
              <w:top w:val="single" w:sz="6" w:space="0" w:color="000000"/>
              <w:left w:val="single" w:sz="6" w:space="0" w:color="000000"/>
              <w:bottom w:val="single" w:sz="6" w:space="0" w:color="000000"/>
              <w:right w:val="single" w:sz="6" w:space="0" w:color="000000"/>
            </w:tcBorders>
            <w:hideMark/>
          </w:tcPr>
          <w:p w:rsidR="00856E3B" w:rsidRPr="00C36A30" w:rsidRDefault="00856E3B" w:rsidP="009A2950">
            <w:pPr>
              <w:spacing w:before="75" w:after="150" w:line="312" w:lineRule="atLeast"/>
              <w:rPr>
                <w:rFonts w:ascii="Verdana" w:eastAsia="Times New Roman" w:hAnsi="Verdana" w:cs="Arial"/>
                <w:color w:val="000000"/>
                <w:lang w:val="es-ES"/>
              </w:rPr>
            </w:pPr>
            <w:r w:rsidRPr="00C36A30">
              <w:rPr>
                <w:rFonts w:ascii="Verdana" w:eastAsia="Times New Roman" w:hAnsi="Verdana" w:cs="Arial"/>
                <w:color w:val="000000"/>
                <w:lang w:val="es-ES"/>
              </w:rPr>
              <w:t>Mujeres embarazadas</w:t>
            </w:r>
          </w:p>
        </w:tc>
        <w:tc>
          <w:tcPr>
            <w:tcW w:w="8835" w:type="dxa"/>
            <w:tcBorders>
              <w:top w:val="single" w:sz="6" w:space="0" w:color="000000"/>
              <w:left w:val="single" w:sz="6" w:space="0" w:color="000000"/>
              <w:bottom w:val="single" w:sz="6" w:space="0" w:color="000000"/>
              <w:right w:val="single" w:sz="6" w:space="0" w:color="000000"/>
            </w:tcBorders>
            <w:hideMark/>
          </w:tcPr>
          <w:p w:rsidR="00856E3B" w:rsidRPr="00C36A30" w:rsidRDefault="00856E3B" w:rsidP="009A2950">
            <w:pPr>
              <w:spacing w:before="75" w:after="150" w:line="312" w:lineRule="atLeast"/>
              <w:rPr>
                <w:rFonts w:ascii="Verdana" w:eastAsia="Times New Roman" w:hAnsi="Verdana" w:cs="Arial"/>
                <w:color w:val="000000"/>
                <w:lang w:val="es-ES"/>
              </w:rPr>
            </w:pPr>
            <w:r w:rsidRPr="00C36A30">
              <w:rPr>
                <w:rFonts w:ascii="Verdana" w:eastAsia="Times New Roman" w:hAnsi="Verdana" w:cs="Arial"/>
                <w:color w:val="000000"/>
                <w:lang w:val="es-ES"/>
              </w:rPr>
              <w:t xml:space="preserve">Las mujeres embarazadas no se deberían vacunar con la vacuna MMR. </w:t>
            </w:r>
          </w:p>
        </w:tc>
      </w:tr>
      <w:tr w:rsidR="00856E3B" w:rsidRPr="00C36A30" w:rsidTr="009A2950">
        <w:trPr>
          <w:trHeight w:val="1170"/>
          <w:tblCellSpacing w:w="0" w:type="dxa"/>
        </w:trPr>
        <w:tc>
          <w:tcPr>
            <w:tcW w:w="1710" w:type="dxa"/>
            <w:tcBorders>
              <w:top w:val="single" w:sz="6" w:space="0" w:color="000000"/>
              <w:left w:val="single" w:sz="6" w:space="0" w:color="000000"/>
              <w:bottom w:val="single" w:sz="6" w:space="0" w:color="000000"/>
              <w:right w:val="single" w:sz="6" w:space="0" w:color="000000"/>
            </w:tcBorders>
          </w:tcPr>
          <w:p w:rsidR="00856E3B" w:rsidRPr="00C36A30" w:rsidRDefault="00856E3B" w:rsidP="009A2950">
            <w:pPr>
              <w:spacing w:before="75" w:after="150" w:line="312" w:lineRule="atLeast"/>
              <w:rPr>
                <w:rFonts w:ascii="Verdana" w:eastAsia="Times New Roman" w:hAnsi="Verdana" w:cs="Arial"/>
                <w:color w:val="000000"/>
                <w:lang w:val="es-ES"/>
              </w:rPr>
            </w:pPr>
            <w:r w:rsidRPr="00C36A30">
              <w:rPr>
                <w:rFonts w:ascii="Verdana" w:eastAsia="Times New Roman" w:hAnsi="Verdana" w:cs="Arial"/>
                <w:color w:val="000000"/>
                <w:lang w:val="es-ES"/>
              </w:rPr>
              <w:t>Personas expuestas al sarampión</w:t>
            </w:r>
          </w:p>
        </w:tc>
        <w:tc>
          <w:tcPr>
            <w:tcW w:w="8835" w:type="dxa"/>
            <w:tcBorders>
              <w:top w:val="single" w:sz="6" w:space="0" w:color="000000"/>
              <w:left w:val="single" w:sz="6" w:space="0" w:color="000000"/>
              <w:bottom w:val="single" w:sz="6" w:space="0" w:color="000000"/>
              <w:right w:val="single" w:sz="6" w:space="0" w:color="000000"/>
            </w:tcBorders>
          </w:tcPr>
          <w:p w:rsidR="00856E3B" w:rsidRPr="00C36A30" w:rsidRDefault="00856E3B" w:rsidP="009A2950">
            <w:pPr>
              <w:spacing w:before="75" w:after="150" w:line="312" w:lineRule="atLeast"/>
              <w:rPr>
                <w:rFonts w:ascii="Verdana" w:eastAsia="Times New Roman" w:hAnsi="Verdana" w:cs="Arial"/>
                <w:color w:val="000000"/>
                <w:lang w:val="es-ES"/>
              </w:rPr>
            </w:pPr>
            <w:r w:rsidRPr="00C36A30">
              <w:rPr>
                <w:rFonts w:ascii="Verdana" w:eastAsia="Times New Roman" w:hAnsi="Verdana" w:cs="Arial"/>
                <w:color w:val="000000"/>
                <w:lang w:val="es-ES"/>
              </w:rPr>
              <w:t>Las personas expuestas al sarampión deberían recibir la vacuna MMR dentro de un lapso de 72 horas después de haber estado expuestas si:</w:t>
            </w:r>
          </w:p>
          <w:p w:rsidR="00856E3B" w:rsidRPr="00C36A30" w:rsidRDefault="00856E3B" w:rsidP="009A2950">
            <w:pPr>
              <w:pStyle w:val="ListParagraph"/>
              <w:numPr>
                <w:ilvl w:val="0"/>
                <w:numId w:val="6"/>
              </w:numPr>
              <w:spacing w:before="75" w:after="150" w:line="312" w:lineRule="atLeast"/>
              <w:rPr>
                <w:rFonts w:ascii="Verdana" w:eastAsia="Times New Roman" w:hAnsi="Verdana" w:cs="Arial"/>
                <w:color w:val="000000"/>
                <w:lang w:val="es-ES"/>
              </w:rPr>
            </w:pPr>
            <w:r w:rsidRPr="00C36A30">
              <w:rPr>
                <w:rFonts w:ascii="Verdana" w:eastAsia="Times New Roman" w:hAnsi="Verdana" w:cs="Arial"/>
                <w:color w:val="000000"/>
                <w:lang w:val="es-ES"/>
              </w:rPr>
              <w:t xml:space="preserve">no han sido completamente vacunadas ni han tenido sarampión y </w:t>
            </w:r>
          </w:p>
          <w:p w:rsidR="00856E3B" w:rsidRPr="00C36A30" w:rsidRDefault="00856E3B" w:rsidP="009A2950">
            <w:pPr>
              <w:pStyle w:val="ListParagraph"/>
              <w:numPr>
                <w:ilvl w:val="0"/>
                <w:numId w:val="6"/>
              </w:numPr>
              <w:spacing w:before="75" w:after="150" w:line="312" w:lineRule="atLeast"/>
              <w:rPr>
                <w:rFonts w:ascii="Verdana" w:eastAsia="Times New Roman" w:hAnsi="Verdana" w:cs="Arial"/>
                <w:color w:val="000000"/>
                <w:lang w:val="es-ES"/>
              </w:rPr>
            </w:pPr>
            <w:r w:rsidRPr="00C36A30">
              <w:rPr>
                <w:rFonts w:ascii="Verdana" w:eastAsia="Times New Roman" w:hAnsi="Verdana" w:cs="Arial"/>
                <w:color w:val="000000"/>
                <w:lang w:val="es-ES"/>
              </w:rPr>
              <w:t>nacieron después de 1957 y</w:t>
            </w:r>
          </w:p>
          <w:p w:rsidR="00856E3B" w:rsidRPr="00C36A30" w:rsidRDefault="00856E3B" w:rsidP="009A2950">
            <w:pPr>
              <w:pStyle w:val="ListParagraph"/>
              <w:numPr>
                <w:ilvl w:val="0"/>
                <w:numId w:val="6"/>
              </w:numPr>
              <w:spacing w:before="75" w:after="150" w:line="312" w:lineRule="atLeast"/>
              <w:rPr>
                <w:rFonts w:ascii="Verdana" w:eastAsia="Times New Roman" w:hAnsi="Verdana" w:cs="Arial"/>
                <w:color w:val="000000"/>
                <w:lang w:val="es-ES"/>
              </w:rPr>
            </w:pPr>
            <w:r w:rsidRPr="00C36A30">
              <w:rPr>
                <w:rFonts w:ascii="Verdana" w:eastAsia="Times New Roman" w:hAnsi="Verdana" w:cs="Arial"/>
                <w:color w:val="000000"/>
                <w:lang w:val="es-ES"/>
              </w:rPr>
              <w:t>son mayores de seis meses de edad y</w:t>
            </w:r>
          </w:p>
          <w:p w:rsidR="00856E3B" w:rsidRPr="00C36A30" w:rsidRDefault="00856E3B" w:rsidP="009A2950">
            <w:pPr>
              <w:pStyle w:val="ListParagraph"/>
              <w:numPr>
                <w:ilvl w:val="0"/>
                <w:numId w:val="6"/>
              </w:numPr>
              <w:spacing w:before="75" w:after="150" w:line="312" w:lineRule="atLeast"/>
              <w:rPr>
                <w:rFonts w:ascii="Verdana" w:eastAsia="Times New Roman" w:hAnsi="Verdana" w:cs="Arial"/>
                <w:color w:val="000000"/>
                <w:lang w:val="es-ES"/>
              </w:rPr>
            </w:pPr>
            <w:r w:rsidRPr="00C36A30">
              <w:rPr>
                <w:rFonts w:ascii="Verdana" w:eastAsia="Times New Roman" w:hAnsi="Verdana" w:cs="Arial"/>
                <w:color w:val="000000"/>
                <w:lang w:val="es-ES"/>
              </w:rPr>
              <w:t xml:space="preserve">no están embarazadas y </w:t>
            </w:r>
          </w:p>
          <w:p w:rsidR="00856E3B" w:rsidRPr="00C36A30" w:rsidRDefault="00856E3B" w:rsidP="00C13511">
            <w:pPr>
              <w:pStyle w:val="ListParagraph"/>
              <w:numPr>
                <w:ilvl w:val="0"/>
                <w:numId w:val="6"/>
              </w:numPr>
              <w:spacing w:before="75" w:after="150" w:line="312" w:lineRule="atLeast"/>
              <w:rPr>
                <w:rFonts w:ascii="Verdana" w:eastAsia="Times New Roman" w:hAnsi="Verdana" w:cs="Arial"/>
                <w:color w:val="000000"/>
                <w:lang w:val="es-ES"/>
              </w:rPr>
            </w:pPr>
            <w:r w:rsidRPr="00C36A30">
              <w:rPr>
                <w:rFonts w:ascii="Verdana" w:eastAsia="Times New Roman" w:hAnsi="Verdana" w:cs="Arial"/>
                <w:color w:val="000000"/>
                <w:lang w:val="es-ES"/>
              </w:rPr>
              <w:t>no están inmunocomprometidas</w:t>
            </w:r>
          </w:p>
        </w:tc>
      </w:tr>
    </w:tbl>
    <w:p w:rsidR="00856E3B" w:rsidRPr="00C36A30" w:rsidRDefault="00856E3B" w:rsidP="00C13511">
      <w:pPr>
        <w:spacing w:before="75" w:after="150" w:line="312" w:lineRule="atLeast"/>
        <w:rPr>
          <w:rFonts w:ascii="Verdana" w:eastAsia="Times New Roman" w:hAnsi="Verdana" w:cs="Arial"/>
          <w:color w:val="000000"/>
          <w:sz w:val="17"/>
          <w:szCs w:val="17"/>
          <w:lang w:val="es-ES"/>
        </w:rPr>
      </w:pPr>
      <w:bookmarkStart w:id="0" w:name="note2"/>
      <w:bookmarkStart w:id="1" w:name="note1"/>
      <w:bookmarkEnd w:id="0"/>
      <w:bookmarkEnd w:id="1"/>
    </w:p>
    <w:sectPr w:rsidR="00856E3B" w:rsidRPr="00C36A30" w:rsidSect="00C13511">
      <w:headerReference w:type="even" r:id="rId8"/>
      <w:headerReference w:type="default" r:id="rId9"/>
      <w:footerReference w:type="even" r:id="rId10"/>
      <w:footerReference w:type="default" r:id="rId11"/>
      <w:headerReference w:type="first" r:id="rId12"/>
      <w:footerReference w:type="first" r:id="rId13"/>
      <w:pgSz w:w="12240" w:h="15840" w:code="1"/>
      <w:pgMar w:top="1440" w:right="900" w:bottom="547" w:left="1440" w:header="274"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945" w:rsidRPr="00307BA0" w:rsidRDefault="00E01945" w:rsidP="00537CE4">
      <w:pPr>
        <w:spacing w:after="0" w:line="240" w:lineRule="auto"/>
        <w:rPr>
          <w:lang w:val="es-ES_tradnl"/>
        </w:rPr>
      </w:pPr>
      <w:r w:rsidRPr="00307BA0">
        <w:rPr>
          <w:lang w:val="es-ES_tradnl"/>
        </w:rPr>
        <w:separator/>
      </w:r>
    </w:p>
  </w:endnote>
  <w:endnote w:type="continuationSeparator" w:id="0">
    <w:p w:rsidR="00E01945" w:rsidRPr="00307BA0" w:rsidRDefault="00E01945" w:rsidP="00537CE4">
      <w:pPr>
        <w:spacing w:after="0" w:line="240" w:lineRule="auto"/>
        <w:rPr>
          <w:lang w:val="es-ES_tradnl"/>
        </w:rPr>
      </w:pPr>
      <w:r w:rsidRPr="00307BA0">
        <w:rPr>
          <w:lang w:val="es-ES_tradn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511" w:rsidRDefault="00C135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511" w:rsidRPr="00C13511" w:rsidRDefault="00C13511" w:rsidP="00C13511">
    <w:pPr>
      <w:spacing w:before="75" w:after="150" w:line="312" w:lineRule="atLeast"/>
      <w:rPr>
        <w:rFonts w:ascii="Verdana" w:eastAsia="Times New Roman" w:hAnsi="Verdana" w:cs="Arial"/>
        <w:color w:val="000000"/>
        <w:sz w:val="17"/>
        <w:szCs w:val="17"/>
        <w:lang w:val="es-ES"/>
      </w:rPr>
    </w:pPr>
    <w:r w:rsidRPr="00C36A30">
      <w:rPr>
        <w:rFonts w:ascii="Verdana" w:eastAsia="Times New Roman" w:hAnsi="Verdana" w:cs="Arial"/>
        <w:color w:val="000000"/>
        <w:sz w:val="17"/>
        <w:szCs w:val="17"/>
        <w:lang w:val="es-ES"/>
      </w:rPr>
      <w:t>Para las recomendaciones completas en inglés de la vacuna MMR, visite</w:t>
    </w:r>
    <w:r w:rsidRPr="00C13511">
      <w:rPr>
        <w:rFonts w:ascii="Verdana" w:eastAsia="Times New Roman" w:hAnsi="Verdana" w:cs="Arial"/>
        <w:color w:val="000000"/>
        <w:sz w:val="17"/>
        <w:szCs w:val="17"/>
        <w:lang w:val="es-ES"/>
      </w:rPr>
      <w:t xml:space="preserve"> </w:t>
    </w:r>
    <w:r w:rsidRPr="00C36A30">
      <w:rPr>
        <w:rFonts w:ascii="Verdana" w:eastAsia="Times New Roman" w:hAnsi="Verdana" w:cs="Arial"/>
        <w:color w:val="000000"/>
        <w:sz w:val="17"/>
        <w:szCs w:val="17"/>
        <w:lang w:val="es-ES"/>
      </w:rPr>
      <w:t>www.cdc.gov/mmwr/pdf/rr/rr5903.pdf</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511" w:rsidRDefault="00C135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945" w:rsidRPr="00307BA0" w:rsidRDefault="00E01945" w:rsidP="00537CE4">
      <w:pPr>
        <w:spacing w:after="0" w:line="240" w:lineRule="auto"/>
        <w:rPr>
          <w:lang w:val="es-ES_tradnl"/>
        </w:rPr>
      </w:pPr>
      <w:r w:rsidRPr="00307BA0">
        <w:rPr>
          <w:lang w:val="es-ES_tradnl"/>
        </w:rPr>
        <w:separator/>
      </w:r>
    </w:p>
  </w:footnote>
  <w:footnote w:type="continuationSeparator" w:id="0">
    <w:p w:rsidR="00E01945" w:rsidRPr="00307BA0" w:rsidRDefault="00E01945" w:rsidP="00537CE4">
      <w:pPr>
        <w:spacing w:after="0" w:line="240" w:lineRule="auto"/>
        <w:rPr>
          <w:lang w:val="es-ES_tradnl"/>
        </w:rPr>
      </w:pPr>
      <w:r w:rsidRPr="00307BA0">
        <w:rPr>
          <w:lang w:val="es-ES_tradnl"/>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511" w:rsidRDefault="00C135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41F" w:rsidRPr="00307BA0" w:rsidRDefault="00EB541F" w:rsidP="00EB541F">
    <w:pPr>
      <w:pStyle w:val="Header"/>
      <w:ind w:left="-1080" w:firstLine="3960"/>
      <w:rPr>
        <w:b/>
        <w:sz w:val="36"/>
        <w:szCs w:val="36"/>
        <w:lang w:val="es-ES_tradnl"/>
      </w:rPr>
    </w:pPr>
    <w:r w:rsidRPr="00307BA0">
      <w:rPr>
        <w:noProof/>
      </w:rPr>
      <w:drawing>
        <wp:anchor distT="0" distB="0" distL="114300" distR="114300" simplePos="0" relativeHeight="251658240" behindDoc="1" locked="0" layoutInCell="1" allowOverlap="1" wp14:anchorId="2382AEA6" wp14:editId="6772D1A5">
          <wp:simplePos x="0" y="0"/>
          <wp:positionH relativeFrom="column">
            <wp:posOffset>-685800</wp:posOffset>
          </wp:positionH>
          <wp:positionV relativeFrom="paragraph">
            <wp:posOffset>0</wp:posOffset>
          </wp:positionV>
          <wp:extent cx="2340864" cy="914400"/>
          <wp:effectExtent l="0" t="0" r="2540" b="0"/>
          <wp:wrapThrough wrapText="right">
            <wp:wrapPolygon edited="0">
              <wp:start x="0" y="0"/>
              <wp:lineTo x="0" y="21150"/>
              <wp:lineTo x="21448" y="21150"/>
              <wp:lineTo x="21448"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y_DSHS_Hsm[1].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0864" cy="914400"/>
                  </a:xfrm>
                  <a:prstGeom prst="rect">
                    <a:avLst/>
                  </a:prstGeom>
                </pic:spPr>
              </pic:pic>
            </a:graphicData>
          </a:graphic>
          <wp14:sizeRelH relativeFrom="margin">
            <wp14:pctWidth>0</wp14:pctWidth>
          </wp14:sizeRelH>
          <wp14:sizeRelV relativeFrom="margin">
            <wp14:pctHeight>0</wp14:pctHeight>
          </wp14:sizeRelV>
        </wp:anchor>
      </w:drawing>
    </w:r>
  </w:p>
  <w:p w:rsidR="00EB541F" w:rsidRPr="00C13511" w:rsidRDefault="0084453D" w:rsidP="00C13511">
    <w:pPr>
      <w:pStyle w:val="Header"/>
      <w:tabs>
        <w:tab w:val="clear" w:pos="9360"/>
        <w:tab w:val="right" w:pos="9810"/>
      </w:tabs>
      <w:ind w:left="-1080" w:right="-270" w:firstLine="3960"/>
      <w:rPr>
        <w:b/>
        <w:sz w:val="28"/>
        <w:szCs w:val="28"/>
        <w:lang w:val="es-ES_tradnl"/>
      </w:rPr>
    </w:pPr>
    <w:bookmarkStart w:id="2" w:name="_GoBack"/>
    <w:r w:rsidRPr="00C13511">
      <w:rPr>
        <w:b/>
        <w:sz w:val="28"/>
        <w:szCs w:val="28"/>
        <w:lang w:val="es-ES_tradnl"/>
      </w:rPr>
      <w:t>SARAMPIÓN, PAPERAS Y RUBEOLA (MMR)</w:t>
    </w:r>
  </w:p>
  <w:p w:rsidR="00537CE4" w:rsidRPr="00C13511" w:rsidRDefault="0084453D" w:rsidP="00C13511">
    <w:pPr>
      <w:pStyle w:val="Header"/>
      <w:tabs>
        <w:tab w:val="clear" w:pos="9360"/>
        <w:tab w:val="right" w:pos="9810"/>
      </w:tabs>
      <w:ind w:left="-1080" w:right="-270" w:firstLine="3960"/>
      <w:rPr>
        <w:sz w:val="28"/>
        <w:szCs w:val="28"/>
        <w:lang w:val="es-ES_tradnl"/>
      </w:rPr>
    </w:pPr>
    <w:r w:rsidRPr="00C13511">
      <w:rPr>
        <w:b/>
        <w:sz w:val="28"/>
        <w:szCs w:val="28"/>
        <w:lang w:val="es-ES_tradnl"/>
      </w:rPr>
      <w:t xml:space="preserve">RESUMEN </w:t>
    </w:r>
    <w:r w:rsidR="00537CE4" w:rsidRPr="00C13511">
      <w:rPr>
        <w:b/>
        <w:sz w:val="28"/>
        <w:szCs w:val="28"/>
        <w:lang w:val="es-ES_tradnl"/>
      </w:rPr>
      <w:t>DE LAS RECOMENDACIONES</w:t>
    </w:r>
    <w:r w:rsidRPr="00C13511">
      <w:rPr>
        <w:b/>
        <w:sz w:val="28"/>
        <w:szCs w:val="28"/>
        <w:lang w:val="es-ES_tradnl"/>
      </w:rPr>
      <w:t xml:space="preserve"> DE LA VACUNACIÓN</w:t>
    </w:r>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511" w:rsidRDefault="00C135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2338D"/>
    <w:multiLevelType w:val="hybridMultilevel"/>
    <w:tmpl w:val="D1346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550CFD"/>
    <w:multiLevelType w:val="multilevel"/>
    <w:tmpl w:val="EE5A8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EB2CB9"/>
    <w:multiLevelType w:val="hybridMultilevel"/>
    <w:tmpl w:val="FB28B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336B6C"/>
    <w:multiLevelType w:val="hybridMultilevel"/>
    <w:tmpl w:val="D4183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3E73AB"/>
    <w:multiLevelType w:val="hybridMultilevel"/>
    <w:tmpl w:val="7032A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CB7380"/>
    <w:multiLevelType w:val="hybridMultilevel"/>
    <w:tmpl w:val="7350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3FE"/>
    <w:rsid w:val="000B52C6"/>
    <w:rsid w:val="000E1783"/>
    <w:rsid w:val="0026691E"/>
    <w:rsid w:val="00307BA0"/>
    <w:rsid w:val="00537CE4"/>
    <w:rsid w:val="005C74C8"/>
    <w:rsid w:val="005D73FE"/>
    <w:rsid w:val="00675364"/>
    <w:rsid w:val="007429C8"/>
    <w:rsid w:val="0084453D"/>
    <w:rsid w:val="00856E3B"/>
    <w:rsid w:val="00B90B7E"/>
    <w:rsid w:val="00C13511"/>
    <w:rsid w:val="00C169C9"/>
    <w:rsid w:val="00C36A30"/>
    <w:rsid w:val="00D823F8"/>
    <w:rsid w:val="00E01945"/>
    <w:rsid w:val="00EB541F"/>
    <w:rsid w:val="00F73068"/>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73FE"/>
    <w:rPr>
      <w:b/>
      <w:bCs/>
      <w:color w:val="552200"/>
      <w:u w:val="single"/>
      <w:shd w:val="clear" w:color="auto" w:fill="auto"/>
    </w:rPr>
  </w:style>
  <w:style w:type="character" w:styleId="Strong">
    <w:name w:val="Strong"/>
    <w:basedOn w:val="DefaultParagraphFont"/>
    <w:uiPriority w:val="22"/>
    <w:qFormat/>
    <w:rsid w:val="005D73FE"/>
    <w:rPr>
      <w:b/>
      <w:bCs/>
    </w:rPr>
  </w:style>
  <w:style w:type="character" w:customStyle="1" w:styleId="moreinfo1">
    <w:name w:val="more_info1"/>
    <w:basedOn w:val="DefaultParagraphFont"/>
    <w:rsid w:val="005D73FE"/>
    <w:rPr>
      <w:b w:val="0"/>
      <w:bCs w:val="0"/>
      <w:color w:val="999999"/>
      <w:sz w:val="20"/>
      <w:szCs w:val="20"/>
    </w:rPr>
  </w:style>
  <w:style w:type="paragraph" w:styleId="ListParagraph">
    <w:name w:val="List Paragraph"/>
    <w:basedOn w:val="Normal"/>
    <w:uiPriority w:val="34"/>
    <w:qFormat/>
    <w:rsid w:val="00537CE4"/>
    <w:pPr>
      <w:ind w:left="720"/>
      <w:contextualSpacing/>
    </w:pPr>
  </w:style>
  <w:style w:type="paragraph" w:styleId="Header">
    <w:name w:val="header"/>
    <w:basedOn w:val="Normal"/>
    <w:link w:val="HeaderChar"/>
    <w:uiPriority w:val="99"/>
    <w:unhideWhenUsed/>
    <w:rsid w:val="00537C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CE4"/>
  </w:style>
  <w:style w:type="paragraph" w:styleId="Footer">
    <w:name w:val="footer"/>
    <w:basedOn w:val="Normal"/>
    <w:link w:val="FooterChar"/>
    <w:uiPriority w:val="99"/>
    <w:unhideWhenUsed/>
    <w:rsid w:val="00537C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CE4"/>
  </w:style>
  <w:style w:type="paragraph" w:styleId="BalloonText">
    <w:name w:val="Balloon Text"/>
    <w:basedOn w:val="Normal"/>
    <w:link w:val="BalloonTextChar"/>
    <w:uiPriority w:val="99"/>
    <w:semiHidden/>
    <w:unhideWhenUsed/>
    <w:rsid w:val="00537C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CE4"/>
    <w:rPr>
      <w:rFonts w:ascii="Tahoma" w:hAnsi="Tahoma" w:cs="Tahoma"/>
      <w:sz w:val="16"/>
      <w:szCs w:val="16"/>
    </w:rPr>
  </w:style>
  <w:style w:type="character" w:styleId="CommentReference">
    <w:name w:val="annotation reference"/>
    <w:basedOn w:val="DefaultParagraphFont"/>
    <w:uiPriority w:val="99"/>
    <w:semiHidden/>
    <w:unhideWhenUsed/>
    <w:rsid w:val="000B52C6"/>
    <w:rPr>
      <w:sz w:val="16"/>
      <w:szCs w:val="16"/>
    </w:rPr>
  </w:style>
  <w:style w:type="paragraph" w:styleId="CommentText">
    <w:name w:val="annotation text"/>
    <w:basedOn w:val="Normal"/>
    <w:link w:val="CommentTextChar"/>
    <w:uiPriority w:val="99"/>
    <w:semiHidden/>
    <w:unhideWhenUsed/>
    <w:rsid w:val="000B52C6"/>
    <w:pPr>
      <w:spacing w:line="240" w:lineRule="auto"/>
    </w:pPr>
    <w:rPr>
      <w:sz w:val="20"/>
      <w:szCs w:val="20"/>
    </w:rPr>
  </w:style>
  <w:style w:type="character" w:customStyle="1" w:styleId="CommentTextChar">
    <w:name w:val="Comment Text Char"/>
    <w:basedOn w:val="DefaultParagraphFont"/>
    <w:link w:val="CommentText"/>
    <w:uiPriority w:val="99"/>
    <w:semiHidden/>
    <w:rsid w:val="000B52C6"/>
    <w:rPr>
      <w:sz w:val="20"/>
      <w:szCs w:val="20"/>
    </w:rPr>
  </w:style>
  <w:style w:type="paragraph" w:styleId="CommentSubject">
    <w:name w:val="annotation subject"/>
    <w:basedOn w:val="CommentText"/>
    <w:next w:val="CommentText"/>
    <w:link w:val="CommentSubjectChar"/>
    <w:uiPriority w:val="99"/>
    <w:semiHidden/>
    <w:unhideWhenUsed/>
    <w:rsid w:val="000B52C6"/>
    <w:rPr>
      <w:b/>
      <w:bCs/>
    </w:rPr>
  </w:style>
  <w:style w:type="character" w:customStyle="1" w:styleId="CommentSubjectChar">
    <w:name w:val="Comment Subject Char"/>
    <w:basedOn w:val="CommentTextChar"/>
    <w:link w:val="CommentSubject"/>
    <w:uiPriority w:val="99"/>
    <w:semiHidden/>
    <w:rsid w:val="000B52C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73FE"/>
    <w:rPr>
      <w:b/>
      <w:bCs/>
      <w:color w:val="552200"/>
      <w:u w:val="single"/>
      <w:shd w:val="clear" w:color="auto" w:fill="auto"/>
    </w:rPr>
  </w:style>
  <w:style w:type="character" w:styleId="Strong">
    <w:name w:val="Strong"/>
    <w:basedOn w:val="DefaultParagraphFont"/>
    <w:uiPriority w:val="22"/>
    <w:qFormat/>
    <w:rsid w:val="005D73FE"/>
    <w:rPr>
      <w:b/>
      <w:bCs/>
    </w:rPr>
  </w:style>
  <w:style w:type="character" w:customStyle="1" w:styleId="moreinfo1">
    <w:name w:val="more_info1"/>
    <w:basedOn w:val="DefaultParagraphFont"/>
    <w:rsid w:val="005D73FE"/>
    <w:rPr>
      <w:b w:val="0"/>
      <w:bCs w:val="0"/>
      <w:color w:val="999999"/>
      <w:sz w:val="20"/>
      <w:szCs w:val="20"/>
    </w:rPr>
  </w:style>
  <w:style w:type="paragraph" w:styleId="ListParagraph">
    <w:name w:val="List Paragraph"/>
    <w:basedOn w:val="Normal"/>
    <w:uiPriority w:val="34"/>
    <w:qFormat/>
    <w:rsid w:val="00537CE4"/>
    <w:pPr>
      <w:ind w:left="720"/>
      <w:contextualSpacing/>
    </w:pPr>
  </w:style>
  <w:style w:type="paragraph" w:styleId="Header">
    <w:name w:val="header"/>
    <w:basedOn w:val="Normal"/>
    <w:link w:val="HeaderChar"/>
    <w:uiPriority w:val="99"/>
    <w:unhideWhenUsed/>
    <w:rsid w:val="00537C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CE4"/>
  </w:style>
  <w:style w:type="paragraph" w:styleId="Footer">
    <w:name w:val="footer"/>
    <w:basedOn w:val="Normal"/>
    <w:link w:val="FooterChar"/>
    <w:uiPriority w:val="99"/>
    <w:unhideWhenUsed/>
    <w:rsid w:val="00537C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CE4"/>
  </w:style>
  <w:style w:type="paragraph" w:styleId="BalloonText">
    <w:name w:val="Balloon Text"/>
    <w:basedOn w:val="Normal"/>
    <w:link w:val="BalloonTextChar"/>
    <w:uiPriority w:val="99"/>
    <w:semiHidden/>
    <w:unhideWhenUsed/>
    <w:rsid w:val="00537C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CE4"/>
    <w:rPr>
      <w:rFonts w:ascii="Tahoma" w:hAnsi="Tahoma" w:cs="Tahoma"/>
      <w:sz w:val="16"/>
      <w:szCs w:val="16"/>
    </w:rPr>
  </w:style>
  <w:style w:type="character" w:styleId="CommentReference">
    <w:name w:val="annotation reference"/>
    <w:basedOn w:val="DefaultParagraphFont"/>
    <w:uiPriority w:val="99"/>
    <w:semiHidden/>
    <w:unhideWhenUsed/>
    <w:rsid w:val="000B52C6"/>
    <w:rPr>
      <w:sz w:val="16"/>
      <w:szCs w:val="16"/>
    </w:rPr>
  </w:style>
  <w:style w:type="paragraph" w:styleId="CommentText">
    <w:name w:val="annotation text"/>
    <w:basedOn w:val="Normal"/>
    <w:link w:val="CommentTextChar"/>
    <w:uiPriority w:val="99"/>
    <w:semiHidden/>
    <w:unhideWhenUsed/>
    <w:rsid w:val="000B52C6"/>
    <w:pPr>
      <w:spacing w:line="240" w:lineRule="auto"/>
    </w:pPr>
    <w:rPr>
      <w:sz w:val="20"/>
      <w:szCs w:val="20"/>
    </w:rPr>
  </w:style>
  <w:style w:type="character" w:customStyle="1" w:styleId="CommentTextChar">
    <w:name w:val="Comment Text Char"/>
    <w:basedOn w:val="DefaultParagraphFont"/>
    <w:link w:val="CommentText"/>
    <w:uiPriority w:val="99"/>
    <w:semiHidden/>
    <w:rsid w:val="000B52C6"/>
    <w:rPr>
      <w:sz w:val="20"/>
      <w:szCs w:val="20"/>
    </w:rPr>
  </w:style>
  <w:style w:type="paragraph" w:styleId="CommentSubject">
    <w:name w:val="annotation subject"/>
    <w:basedOn w:val="CommentText"/>
    <w:next w:val="CommentText"/>
    <w:link w:val="CommentSubjectChar"/>
    <w:uiPriority w:val="99"/>
    <w:semiHidden/>
    <w:unhideWhenUsed/>
    <w:rsid w:val="000B52C6"/>
    <w:rPr>
      <w:b/>
      <w:bCs/>
    </w:rPr>
  </w:style>
  <w:style w:type="character" w:customStyle="1" w:styleId="CommentSubjectChar">
    <w:name w:val="Comment Subject Char"/>
    <w:basedOn w:val="CommentTextChar"/>
    <w:link w:val="CommentSubject"/>
    <w:uiPriority w:val="99"/>
    <w:semiHidden/>
    <w:rsid w:val="000B52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310606">
      <w:bodyDiv w:val="1"/>
      <w:marLeft w:val="0"/>
      <w:marRight w:val="0"/>
      <w:marTop w:val="0"/>
      <w:marBottom w:val="0"/>
      <w:divBdr>
        <w:top w:val="none" w:sz="0" w:space="0" w:color="auto"/>
        <w:left w:val="none" w:sz="0" w:space="0" w:color="auto"/>
        <w:bottom w:val="none" w:sz="0" w:space="0" w:color="auto"/>
        <w:right w:val="none" w:sz="0" w:space="0" w:color="auto"/>
      </w:divBdr>
      <w:divsChild>
        <w:div w:id="1620258798">
          <w:marLeft w:val="0"/>
          <w:marRight w:val="0"/>
          <w:marTop w:val="0"/>
          <w:marBottom w:val="0"/>
          <w:divBdr>
            <w:top w:val="none" w:sz="0" w:space="0" w:color="auto"/>
            <w:left w:val="none" w:sz="0" w:space="0" w:color="auto"/>
            <w:bottom w:val="none" w:sz="0" w:space="0" w:color="auto"/>
            <w:right w:val="none" w:sz="0" w:space="0" w:color="auto"/>
          </w:divBdr>
          <w:divsChild>
            <w:div w:id="1005864594">
              <w:marLeft w:val="0"/>
              <w:marRight w:val="0"/>
              <w:marTop w:val="0"/>
              <w:marBottom w:val="0"/>
              <w:divBdr>
                <w:top w:val="none" w:sz="0" w:space="0" w:color="auto"/>
                <w:left w:val="none" w:sz="0" w:space="0" w:color="auto"/>
                <w:bottom w:val="none" w:sz="0" w:space="0" w:color="auto"/>
                <w:right w:val="none" w:sz="0" w:space="0" w:color="auto"/>
              </w:divBdr>
              <w:divsChild>
                <w:div w:id="384448367">
                  <w:marLeft w:val="0"/>
                  <w:marRight w:val="0"/>
                  <w:marTop w:val="0"/>
                  <w:marBottom w:val="0"/>
                  <w:divBdr>
                    <w:top w:val="single" w:sz="36" w:space="8" w:color="000000"/>
                    <w:left w:val="none" w:sz="0" w:space="0" w:color="auto"/>
                    <w:bottom w:val="none" w:sz="0" w:space="0" w:color="auto"/>
                    <w:right w:val="none" w:sz="0" w:space="0" w:color="auto"/>
                  </w:divBdr>
                </w:div>
              </w:divsChild>
            </w:div>
          </w:divsChild>
        </w:div>
      </w:divsChild>
    </w:div>
    <w:div w:id="1497917322">
      <w:bodyDiv w:val="1"/>
      <w:marLeft w:val="0"/>
      <w:marRight w:val="0"/>
      <w:marTop w:val="0"/>
      <w:marBottom w:val="0"/>
      <w:divBdr>
        <w:top w:val="none" w:sz="0" w:space="0" w:color="auto"/>
        <w:left w:val="none" w:sz="0" w:space="0" w:color="auto"/>
        <w:bottom w:val="none" w:sz="0" w:space="0" w:color="auto"/>
        <w:right w:val="none" w:sz="0" w:space="0" w:color="auto"/>
      </w:divBdr>
      <w:divsChild>
        <w:div w:id="1475026098">
          <w:marLeft w:val="0"/>
          <w:marRight w:val="0"/>
          <w:marTop w:val="0"/>
          <w:marBottom w:val="0"/>
          <w:divBdr>
            <w:top w:val="none" w:sz="0" w:space="0" w:color="auto"/>
            <w:left w:val="none" w:sz="0" w:space="0" w:color="auto"/>
            <w:bottom w:val="none" w:sz="0" w:space="0" w:color="auto"/>
            <w:right w:val="none" w:sz="0" w:space="0" w:color="auto"/>
          </w:divBdr>
          <w:divsChild>
            <w:div w:id="996496175">
              <w:marLeft w:val="0"/>
              <w:marRight w:val="0"/>
              <w:marTop w:val="0"/>
              <w:marBottom w:val="0"/>
              <w:divBdr>
                <w:top w:val="none" w:sz="0" w:space="0" w:color="auto"/>
                <w:left w:val="none" w:sz="0" w:space="0" w:color="auto"/>
                <w:bottom w:val="none" w:sz="0" w:space="0" w:color="auto"/>
                <w:right w:val="none" w:sz="0" w:space="0" w:color="auto"/>
              </w:divBdr>
              <w:divsChild>
                <w:div w:id="2117289513">
                  <w:marLeft w:val="0"/>
                  <w:marRight w:val="0"/>
                  <w:marTop w:val="0"/>
                  <w:marBottom w:val="0"/>
                  <w:divBdr>
                    <w:top w:val="single" w:sz="36" w:space="8" w:color="000000"/>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DSHS</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Wiseman,Rachel (DSHS)</dc:creator>
  <cp:lastModifiedBy>Wiseman,Rachel (DSHS)</cp:lastModifiedBy>
  <cp:revision>2</cp:revision>
  <dcterms:created xsi:type="dcterms:W3CDTF">2014-04-18T20:03:00Z</dcterms:created>
  <dcterms:modified xsi:type="dcterms:W3CDTF">2014-04-18T20:03:00Z</dcterms:modified>
</cp:coreProperties>
</file>